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3DD2">
      <w:pPr>
        <w:jc w:val="center"/>
        <w:rPr>
          <w:rFonts w:hint="default" w:ascii="宋体" w:hAnsi="宋体" w:eastAsia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HERP版本升级（OES）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需求概况</w:t>
      </w:r>
    </w:p>
    <w:p w14:paraId="076078A6">
      <w:pPr>
        <w:rPr>
          <w:rFonts w:ascii="楷体" w:hAnsi="楷体" w:eastAsia="楷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C7A5EC0">
      <w:pPr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15" w:name="_GoBack"/>
      <w:bookmarkEnd w:id="15"/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本项目需满足的基本需求包括：</w:t>
      </w:r>
    </w:p>
    <w:p w14:paraId="5FBED506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1.建设资产设备全生命周期管理体系，确保家底清楚、流程规范，动态掌握运行状态和设备运行效益。</w:t>
      </w:r>
    </w:p>
    <w:p w14:paraId="3898BDB4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2.建设全口径一体化的全面预算模式，确保每一笔资金流向清晰可控、每一类成本发生控制有力。建立智能化报销、票据识别、自动生成凭证等功能满足医院工作效率提升，为财务从核算向管理转型提供契机。</w:t>
      </w:r>
    </w:p>
    <w:p w14:paraId="62A90E94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3.建设以合同为中心，从合同执行、合同收付款、保证金执行维度，分析各部门的合同数量及金额、各类型合同分布、合同履行情况，并生成各类合同相关的报表，为医院管理层提供决策依据。</w:t>
      </w:r>
    </w:p>
    <w:p w14:paraId="6A48B782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4.构建精细化成本核算体系，通过对科室、项目、DRG成本多维度分析，掌握医院运营状况，提升医院经济运行效率。</w:t>
      </w:r>
    </w:p>
    <w:p w14:paraId="461E594D">
      <w:pPr>
        <w:ind w:firstLine="562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一、HRP版本升级（OES）项目内容包括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7CF51DEF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结合当下新技术发展趋势以及对业务需求的理解，将医院管理逐步从一体化、流程化、精细化、查漏补缺阶段迈向智能管控、智慧决策阶段。在财务管控方面建立基于全面预算的全过程智能控制体系，从事后反应经济运行过程到全程参与业务经营并以数据说话；在物流管理层面实现整个供应链生态的协同管理机制，通过智能物联技术提高效率，降低成本，并掌握设备利用、效能情况辅助设备投放决策；在成本管理方面，依据医院成本管理战略要求，结合医院成本管理的现状，制定核算方案，梳理核算范围、方法，建立符合医院自身发展的成本模型库，通过成本标准测算确定成本控制目标，为医院实现成本考核成为可能，为进一步的成本核算铺平道路。</w:t>
      </w:r>
    </w:p>
    <w:p w14:paraId="116AC8B8">
      <w:pPr>
        <w:pStyle w:val="14"/>
        <w:spacing w:line="360" w:lineRule="auto"/>
        <w:ind w:firstLine="562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二、OES功能升级</w:t>
      </w:r>
    </w:p>
    <w:p w14:paraId="56BA0133">
      <w:pPr>
        <w:pStyle w:val="21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1、全面预算管理系统</w:t>
      </w:r>
    </w:p>
    <w:p w14:paraId="6305064B">
      <w:pPr>
        <w:spacing w:line="360" w:lineRule="auto"/>
        <w:ind w:left="700" w:leftChars="200" w:hanging="280" w:hangingChars="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支持多层级多模式的编制；</w:t>
      </w:r>
    </w:p>
    <w:p w14:paraId="78265E41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涵盖收入、支出、采购、资本性支出、科教项目等各类预算的全面预算范围；</w:t>
      </w:r>
    </w:p>
    <w:p w14:paraId="3A8A07FD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可以根据业务需求自定义工作流；</w:t>
      </w:r>
    </w:p>
    <w:p w14:paraId="445FABC5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支持从预算编制到预算考核的全过程管理；</w:t>
      </w:r>
    </w:p>
    <w:p w14:paraId="493F705B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系统预置常用的编制模板，并且支持公式计算；</w:t>
      </w:r>
    </w:p>
    <w:p w14:paraId="33CC3AFF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预算执行期间支持对预算进行调整、调剂，支持新增科室追加预算；</w:t>
      </w:r>
    </w:p>
    <w:p w14:paraId="09D706C6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能够提供职能汇总、全员汇总功能；</w:t>
      </w:r>
    </w:p>
    <w:p w14:paraId="4DEF4DE9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与业务紧密关联，通过灵活的控制策略，对报销、合同等实际业务进行实时管控；</w:t>
      </w:r>
    </w:p>
    <w:p w14:paraId="72642B10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同时支持计划、收入、支出、资本性支出、药品采购、科教项目各业务指标。</w:t>
      </w:r>
      <w:r>
        <w:rPr>
          <w:rFonts w:hint="eastAsia" w:asciiTheme="minorEastAsia" w:hAnsiTheme="minorEastAsia" w:cstheme="minorEastAsia"/>
          <w:sz w:val="28"/>
          <w:szCs w:val="28"/>
        </w:rPr>
        <w:br w:type="textWrapping"/>
      </w:r>
      <w:r>
        <w:rPr>
          <w:rFonts w:asciiTheme="minorEastAsia" w:hAnsiTheme="minorEastAsia" w:cstheme="minorEastAsia"/>
          <w:b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2、智能报账管理系统</w:t>
      </w:r>
    </w:p>
    <w:p w14:paraId="4F2A6336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集借款、报销为一体的专业化管理系统，可以实现线上报销审批等一系列操作流程，用户可以直接在线上填报借款单或报销单，审批人可以直观的看到自己的待办任务并进行审批，进一步提高了医院精细化管理水平。</w:t>
      </w:r>
    </w:p>
    <w:p w14:paraId="282CE2D7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个人业务办理：包含日常、差旅、会议、培训、劳务、借款、申请业务的申报；支持事前申请、员工借款、冲销借款及报销，根据申报金额进行预算管控及借款逾期预警提醒功能；</w:t>
      </w:r>
    </w:p>
    <w:p w14:paraId="76AD76A7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对公业务办理：支持对各类资产付款、合同付款、采购付款、维修付款等对公业务，进行报账流程管控；</w:t>
      </w:r>
    </w:p>
    <w:p w14:paraId="5D070BE0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业务审批：包含员工申报各类型单据进行超预算预警提醒及审批处理功能；</w:t>
      </w:r>
    </w:p>
    <w:p w14:paraId="725F6BEF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财务处理：包含借款初始化、借款支付及查询、报销支付及查询、借款还款、借款逾期预警、劳务汇总功能；</w:t>
      </w:r>
    </w:p>
    <w:p w14:paraId="51BCAEAD">
      <w:pPr>
        <w:numPr>
          <w:ilvl w:val="0"/>
          <w:numId w:val="2"/>
        </w:numPr>
        <w:spacing w:line="360" w:lineRule="auto"/>
        <w:ind w:left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预算执行：提供以全院、归口科室、业务科室口径的预算执行统计功能；</w:t>
      </w:r>
    </w:p>
    <w:p w14:paraId="5999575E"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基础设置：包含交通工具、国内外差旅补助标准控制、权限分配及分摊规则配置功能。</w:t>
      </w:r>
    </w:p>
    <w:p w14:paraId="619A884C">
      <w:pPr>
        <w:pStyle w:val="21"/>
        <w:ind w:left="701" w:hanging="281"/>
        <w:rPr>
          <w:rFonts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Style w:val="23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3、医院资产设备管理系统</w:t>
      </w:r>
    </w:p>
    <w:p w14:paraId="16D77779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资产管理系统支持对固定资产、无形资产的全流程管理，灵活支持多种资产卡片样式，可根据用户需求定制资产条码格式，实现多种形式的资产盘点方案。新版资产管理系统具有以下特色：</w:t>
      </w:r>
    </w:p>
    <w:p w14:paraId="6D54E7C5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3.1资产基础数据的准备方面，资产分类内置固定资产国标分类，并和资产字典对应，卡片录入时自动带入。</w:t>
      </w:r>
    </w:p>
    <w:p w14:paraId="78BC5E54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3.2在资产字典中，内置医疗行业的积累总结的医院常用资产字典数据，供医院选择使用。</w:t>
      </w:r>
    </w:p>
    <w:p w14:paraId="3A16D161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3.3资产卡片设置，支持自定义卡片模板显示字段内容及显示名称，支持自定义卡片字段显示顺序。</w:t>
      </w:r>
    </w:p>
    <w:p w14:paraId="507AD5F3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3.4固定资产卡片的管理，系统支持入库单生成卡片，EXCEL导入卡片，手工录入卡片等多种卡片维护方式。且系统预置标准导入模板。支持资产卡片附属设备附属设备信息修改及录入。</w:t>
      </w:r>
    </w:p>
    <w:p w14:paraId="09E979B4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3.5资产安装验收支持多种方式，支持手工新增安装单，支持导入采购订单生成安装单；支持导入合同明细生成安装单；支持推式生成验收单。</w:t>
      </w:r>
    </w:p>
    <w:p w14:paraId="6EF66EF4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3.6资产管理库房管理业务支持全面，包含期初入库、资产入库、资产退货、科室领用、科室退库等业务，入库单生成方式，除支持手工新增入库单，还支持通过导入验收单、盘盈单、采购定单、合同的方式生成入库单。</w:t>
      </w:r>
    </w:p>
    <w:p w14:paraId="0835F170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3.7支持资产的多种资金来源管理，资产系统实现多资金来源管理，并支持根据入库单明细进行资产资金来源调整。</w:t>
      </w:r>
    </w:p>
    <w:p w14:paraId="53788AEB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3.8资产变动业务类型支持丰富，资产变动业务支持包含资产转移（科室、仓库）、原值变动、使用状态变动等业务。</w:t>
      </w:r>
    </w:p>
    <w:p w14:paraId="72325364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 xml:space="preserve">3.9支持手持终端，手机app等方式的资产盘点业务，支持在线或离线的资产盘点，支持移动盘点，盘点信息同步至PC端业务系统。支持对资产附属设备的盘点。 </w:t>
      </w:r>
    </w:p>
    <w:p w14:paraId="20C0F605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3.10资产折旧的计提，资产折旧方式符合新会计制度要求，并将折旧数据按照科室进行成本分摊，同时支持反计提折旧。资产处置支持单笔确认和批量确认两种方式，方便医院快速进行资产处置业务。</w:t>
      </w:r>
    </w:p>
    <w:p w14:paraId="423132EB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3.11具有多样的资产管理报表，系统预置资产月报、总账等财务报表；预置资产增减表、入库表等各类管理报表，并且系统按照财务口径和资产管理口径分别设置相应报表。</w:t>
      </w:r>
    </w:p>
    <w:p w14:paraId="3B2DB311"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资产数据整体情况多维度、多口径直观展示，支持大屏展示资产状况，可直观、快捷进行设备查询，并以卡片形式进行关键信息展示。</w:t>
      </w:r>
    </w:p>
    <w:p w14:paraId="3F441B77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3.12设备管理主题分析，可根据客户要求自定义分析报表。</w:t>
      </w:r>
    </w:p>
    <w:p w14:paraId="0AF89845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3.13设备单机效能分析，可根据客户要求自定义分析报表。</w:t>
      </w:r>
    </w:p>
    <w:p w14:paraId="5222A0B5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3.14维修、维保联动合同，规范维修维保合同执行过程，维修维保发票联动财务，根据发票和任务单付款。</w:t>
      </w:r>
    </w:p>
    <w:p w14:paraId="4CE4682D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3.15维修配件耗材一键出入库，联动物流，自动计算维修费用，维修供应商线上应答维修报价。</w:t>
      </w:r>
    </w:p>
    <w:p w14:paraId="3BD924AB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3.16保养、质控、计量、巡检计划管理，定期自动提醒，记录执行过程，多维度统计分析。</w:t>
      </w:r>
    </w:p>
    <w:p w14:paraId="55D2C7AB">
      <w:pPr>
        <w:spacing w:line="360" w:lineRule="auto"/>
        <w:ind w:firstLine="560" w:firstLineChars="200"/>
        <w:rPr>
          <w:rFonts w:asciiTheme="minorEastAsia" w:hAnsi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</w:rPr>
        <w:t>3.17特种设备、放射诊疗设备特殊设备管理功能。</w:t>
      </w:r>
    </w:p>
    <w:p w14:paraId="3A5C18A6">
      <w:pPr>
        <w:pStyle w:val="21"/>
        <w:spacing w:line="360" w:lineRule="auto"/>
        <w:ind w:left="420" w:leftChars="0" w:firstLine="0" w:firstLineChars="0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4、科室成本核算管理系统</w:t>
      </w:r>
      <w:bookmarkStart w:id="0" w:name="_Toc38080994"/>
      <w:bookmarkStart w:id="1" w:name="_Toc38080509"/>
      <w:bookmarkStart w:id="2" w:name="_Toc38080686"/>
      <w:bookmarkStart w:id="3" w:name="_Toc50755170"/>
      <w:bookmarkStart w:id="4" w:name="_Toc33302369"/>
    </w:p>
    <w:p w14:paraId="1D1BEA69">
      <w:pPr>
        <w:pStyle w:val="15"/>
        <w:numPr>
          <w:ilvl w:val="0"/>
          <w:numId w:val="0"/>
        </w:numPr>
        <w:spacing w:line="360" w:lineRule="auto"/>
        <w:ind w:firstLine="560" w:firstLineChars="200"/>
        <w:rPr>
          <w:rFonts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eastAsiaTheme="minorEastAsia" w:cstheme="minorEastAsia"/>
          <w:sz w:val="28"/>
        </w:rPr>
        <w:t>4.1科室成本核算服务</w:t>
      </w:r>
      <w:bookmarkEnd w:id="0"/>
      <w:bookmarkEnd w:id="1"/>
      <w:bookmarkEnd w:id="2"/>
      <w:bookmarkEnd w:id="3"/>
      <w:bookmarkEnd w:id="4"/>
    </w:p>
    <w:p w14:paraId="6BA54389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借助科室成本核算软件，按要求产生科室成本核算结果数据和科室成本报表。</w:t>
      </w:r>
    </w:p>
    <w:p w14:paraId="1683A4B7">
      <w:pPr>
        <w:spacing w:before="163" w:after="163" w:line="360" w:lineRule="auto"/>
        <w:ind w:left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4.2科室成本报表：内容见成基础档案完善</w:t>
      </w:r>
    </w:p>
    <w:p w14:paraId="1BF8B383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医院新开科室、更换供应商、新购设备、引进人才、财务制度改革等，会引起收入数据的收费类别、收费项目、科室字典，支出数据物资类别、物资字典、资产分类、资产卡片、人员档案、工资项、内部服务量、核算单元、成本项目、成本要素等信息发生新增、变更，数据交换时会提示缺少相关基础档案，对发生变化的基础档案进行相应数据维护。</w:t>
      </w:r>
    </w:p>
    <w:p w14:paraId="18AA3AE9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4.3分摊方案完善</w:t>
      </w:r>
    </w:p>
    <w:p w14:paraId="6C16C1FB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基础档案中成本要素、核算单元发生新增、科室定向服务发生变化（比如药库之前只服务于住院药房、现在还需要向门诊药房发药），需要补充新增科室、新增成本要素配置分摊方案；其次科室分摊参数调整、变更，分摊方案需调整完善。</w:t>
      </w:r>
    </w:p>
    <w:p w14:paraId="692E9C70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4.4参数计算</w:t>
      </w:r>
    </w:p>
    <w:p w14:paraId="66287240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依据科室成本分摊方案，计算相关参数数值，包括人员、工作量、收支配比、面积、内部服务量能够在基础数据导入完整的情况下可以进行采集计算，新增的分摊参数需要手工维护或导入，以确保分摊方案中相关参数数值完整。</w:t>
      </w:r>
    </w:p>
    <w:p w14:paraId="04D21D07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4.5科室全成本计算</w:t>
      </w:r>
    </w:p>
    <w:p w14:paraId="03135C55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根据基础业务数据、成本分摊方案，采用四类三级分摊完成科室全成本分摊计算。</w:t>
      </w:r>
    </w:p>
    <w:p w14:paraId="5A556C14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4.6数据校验</w:t>
      </w:r>
    </w:p>
    <w:p w14:paraId="38A220CD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通过数据校验功能，对科室全成本分摊前后的数据进行校验，对财务与成本数据的一致进行校验，保证数据准确。对于存在差额的原因：1、科室字典中是否参与分摊；2、分摊方案配置是否完整；3、对应的分摊参数是否有相应的参数值；4、校验结果是否刷新（点击发布）。</w:t>
      </w:r>
    </w:p>
    <w:p w14:paraId="4315BE28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4..7成本数据分析</w:t>
      </w:r>
    </w:p>
    <w:p w14:paraId="2A47F47D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采用因素分析、量本利分析、对比分析等分析方法对科室运行情况进行分析评价：通同类科室横向比较分析、科室自身的纵向比较分析、院内均值对比分析，从成本、收入、收益、工作量等方面进行科室评价分析。</w:t>
      </w:r>
    </w:p>
    <w:p w14:paraId="5C361B74">
      <w:pPr>
        <w:pStyle w:val="21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5" w:name="_Toc38080995"/>
      <w:bookmarkStart w:id="6" w:name="_Toc38080510"/>
      <w:bookmarkStart w:id="7" w:name="_Toc50755171"/>
      <w:bookmarkStart w:id="8" w:name="_Toc33302370"/>
      <w:bookmarkStart w:id="9" w:name="_Toc38080687"/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5、项目成本核算服务</w:t>
      </w:r>
      <w:bookmarkEnd w:id="5"/>
      <w:bookmarkEnd w:id="6"/>
      <w:bookmarkEnd w:id="7"/>
      <w:bookmarkEnd w:id="8"/>
      <w:bookmarkEnd w:id="9"/>
    </w:p>
    <w:p w14:paraId="080D02A0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借助项目成本核算软件，按要求产生项目成本核算结果数据和项目成本报表。</w:t>
      </w:r>
    </w:p>
    <w:p w14:paraId="369FE7D6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5.1作业模型完善</w:t>
      </w:r>
    </w:p>
    <w:p w14:paraId="2EDE2F7B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科室新开了医疗业务、医疗服务项目内涵变更、科室新增资源（人员、材料、设备）、作业流程变化时，否则新增的项目无法核算出成本、新增的资源也不能按照直接成本计入项目（间接成本分摊会受到分摊参数的影响和干扰，数据质量下降）。通过核算模型中的模型检查中发现、筛查新增项目及资源，并在作业模型需要进行完善，补充、调整原有的作业模型。</w:t>
      </w:r>
    </w:p>
    <w:p w14:paraId="34801CBE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5.2直接成本计算</w:t>
      </w:r>
    </w:p>
    <w:p w14:paraId="3F47F819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直接成本包含作业模型中填报的人员、材料、设备及其他成本，借助成本核算软件，按照作业成本法的逻辑，计算各医疗服务项目的直接成本。直接成本核算受两方面的影响：1、作业模型中直接成本选中的资源；2、直接成本中选中的资源在当前的核算期间有业务数据发生-基础数据中有对应的明细数据。 </w:t>
      </w:r>
    </w:p>
    <w:p w14:paraId="7BA06608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5.3资源成本分配</w:t>
      </w:r>
    </w:p>
    <w:p w14:paraId="55CCECB4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依照成本分摊方案，配置资源成本分摊参数，并计算相应参数数值，进行资源成本分配，形成作业成本；其次，检查校验资源成本分摊差额，对于差额超过100的科室进行差异分析，如若不是因为小数位造成的分摊差额，应进行相应数据处理，减小数据差额。</w:t>
      </w:r>
    </w:p>
    <w:p w14:paraId="54E03A92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5.4作业成本分配</w:t>
      </w:r>
    </w:p>
    <w:p w14:paraId="7B6214BF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依照成本分摊方案，配置作业成本分摊参数，并计算相应参数数值，进行作业成本分配，检查校验作业成本分摊差额，对于差额超过100的科室进行差异分析，如若不是因为小数位造成的分摊差额，应进行相应数据处理，减小数据差额。</w:t>
      </w:r>
    </w:p>
    <w:p w14:paraId="25AC14D6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5.5科室项目成本计算</w:t>
      </w:r>
    </w:p>
    <w:p w14:paraId="7F8B0027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借助成本核算软件，计算科室级医疗服务项目全成本，并校验科室成本与项目成本的数据差额，超过100需进行差异分析，如若不是因为小数位造成的分摊差额，应进行相应数据处理，减小数据差额。</w:t>
      </w:r>
    </w:p>
    <w:p w14:paraId="030432FD">
      <w:pPr>
        <w:spacing w:before="163" w:after="163" w:line="360" w:lineRule="auto"/>
        <w:ind w:left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5.6院级项目成本计算</w:t>
      </w:r>
    </w:p>
    <w:p w14:paraId="19301D50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借助成本核算软件，计算院级医疗服务项目全成本，并校验科室级项目成本与院级项目成本的数据差额，超过100需进行差异分析，如若不是因为小数位造成的分摊差额，应进行相应数据处理，减小数据差额。</w:t>
      </w:r>
    </w:p>
    <w:p w14:paraId="76484870">
      <w:pPr>
        <w:spacing w:before="163" w:after="163" w:line="360" w:lineRule="auto"/>
        <w:ind w:left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5.7项目成本分析</w:t>
      </w:r>
    </w:p>
    <w:p w14:paraId="7643D76B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通过对成本的构成、作业流程、人员效率、人员配置（能力和项目技术难度匹配）、卫生材料使用率、设备使用率等多个维多分析科室成本管理水平，形成相应的分析报告。</w:t>
      </w:r>
    </w:p>
    <w:p w14:paraId="430FC2D6">
      <w:pPr>
        <w:pStyle w:val="21"/>
        <w:spacing w:line="360" w:lineRule="auto"/>
        <w:ind w:left="701" w:hanging="281"/>
        <w:rPr>
          <w:rFonts w:asciiTheme="minorEastAsia" w:hAnsiTheme="minorEastAsia" w:eastAsiaTheme="minorEastAsia" w:cstheme="minorEastAsia"/>
          <w:sz w:val="28"/>
          <w:szCs w:val="28"/>
        </w:rPr>
      </w:pPr>
      <w:bookmarkStart w:id="10" w:name="_Toc50755173"/>
      <w:bookmarkStart w:id="11" w:name="_Toc38080997"/>
      <w:bookmarkStart w:id="12" w:name="_Toc33302372"/>
      <w:bookmarkStart w:id="13" w:name="_Toc38080689"/>
      <w:bookmarkStart w:id="14" w:name="_Toc38080512"/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6、DRG成本核算服务</w:t>
      </w:r>
      <w:bookmarkEnd w:id="10"/>
      <w:bookmarkEnd w:id="11"/>
      <w:bookmarkEnd w:id="12"/>
      <w:bookmarkEnd w:id="13"/>
      <w:bookmarkEnd w:id="14"/>
    </w:p>
    <w:p w14:paraId="168D0F30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借助DRG成本核算软件，按要求产出DRG成本核算结果数据和DRG成本报表。</w:t>
      </w:r>
    </w:p>
    <w:p w14:paraId="0E0374AF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6.1 DRG分组</w:t>
      </w:r>
    </w:p>
    <w:p w14:paraId="06B4841A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借助DRG分组器，以出院患者 信息为依据，考虑患者的主要诊断和主要治疗方式，结合个体体征如年龄、 并发症和伴随病，将疾病的复杂程度和费用相似的病例分到同一个(DRG)组中。收集DRG字典、病历分组结果、ICD9、ICD10、ADRG字典，并进行相应的初始化导入。</w:t>
      </w:r>
    </w:p>
    <w:p w14:paraId="2C7111EC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6.2病人成本计算</w:t>
      </w:r>
    </w:p>
    <w:p w14:paraId="538EE29D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符合病种定义，并根据核算方案筛选病历，然后利用住院号（或病历号）关联收费明细，采用项目成本叠加法计算每份病历的成本。</w:t>
      </w:r>
    </w:p>
    <w:p w14:paraId="08918D08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6.3科室级DRG成本计算</w:t>
      </w:r>
    </w:p>
    <w:p w14:paraId="3A83A02D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多份病历进过DRG分组落入同一组内，但这些病历对应的治疗成本可能存在差异(例如使用的药品单价、规格等差异)，科室级DRG成本计算就是对DRG组内所有的病历成本进行加权平均得过程。</w:t>
      </w:r>
    </w:p>
    <w:p w14:paraId="3210B73F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6.4院级DRG成本计算</w:t>
      </w:r>
    </w:p>
    <w:p w14:paraId="54B78056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多份病历进过DRG分组落入同一组内，但这些病历对应的治疗成本可能存在差异(例如使用的药品单价、规格等差异)，院级级DRG成本计算就是对全院同一DRG组内所有的病历成本进行加权平均得过程。</w:t>
      </w:r>
    </w:p>
    <w:p w14:paraId="126D0D27">
      <w:pPr>
        <w:spacing w:before="163" w:after="163"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6.5 DRG成本分析</w:t>
      </w:r>
    </w:p>
    <w:p w14:paraId="5AA861D8">
      <w:pPr>
        <w:spacing w:before="120" w:after="120" w:line="360" w:lineRule="auto"/>
        <w:ind w:firstLine="48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从DRG组覆盖率、DRG组成本收益率、患者结构、医师诊疗方案进行病种分析；同类疾病不同科室的横向对比、纵向对比，评价科室的成本管理水平。</w:t>
      </w:r>
    </w:p>
    <w:p w14:paraId="0D48BEAE">
      <w:pPr>
        <w:ind w:firstLine="562" w:firstLineChars="200"/>
        <w:outlineLvl w:val="2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</w:rPr>
        <w:t>7、合同管理系统</w:t>
      </w:r>
    </w:p>
    <w:p w14:paraId="2DA58616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7.1支持合同的在线编辑，实现了合同模板配置，结构化数据项配置等功能，通过调用第三方插件将合同结构化的数据嵌入到合同word正文中，简化了用户合同录入的操作。</w:t>
      </w:r>
    </w:p>
    <w:p w14:paraId="5C036D58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7.2支持合同的全流程管理，通过设置审批流程和审批人，可实现合同审批的自动推送，实现合同的智能审批流程。</w:t>
      </w:r>
    </w:p>
    <w:p w14:paraId="1CDFE4A2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7.3支持合同管理的多维预警，为了保障合同相关业务正常推进，合同系统提供了多种业务提醒，包含合同履行截止日期提醒 、近期应付款提醒 、临近保修期提醒” 、近期应归还保证金提醒 、到货提醒 等多种提醒 ，为经济合同的正常执行提供了有力保障。</w:t>
      </w:r>
    </w:p>
    <w:p w14:paraId="32FB3FB8">
      <w:pPr>
        <w:spacing w:before="120" w:after="120" w:line="360" w:lineRule="auto"/>
        <w:ind w:firstLine="48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7.4实现合同管理与其他系统模块的业务协同，在智慧财务产品线中，合同管理系统与财务会计、预算管理构成了三个相互呼应的业务中心。合同管理模块先后实现了预算管理、采购管理、供应宝、固定资产、设备管理、医掌宝、财务会计等模块协同。</w:t>
      </w:r>
    </w:p>
    <w:p w14:paraId="274B3B07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7.5支持依据采购计划及成交供应商文件推送的数据录入采购合同，系统提供合同生成和签署功能，符合《经济合同管理制度》，支持对达到采购限额（50万元）以上编制完成的合同自动进行公告并备案。</w:t>
      </w:r>
    </w:p>
    <w:p w14:paraId="0C24535D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7.6支持依据原有合同新增补充合同及附件控制。</w:t>
      </w:r>
    </w:p>
    <w:p w14:paraId="689EC5C3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7.7支持关联原有合同信息对分包合同进行录入及附件控制。</w:t>
      </w:r>
    </w:p>
    <w:p w14:paraId="2E15C5C6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7.8支持对历史合同进行补录及附件控制。</w:t>
      </w:r>
    </w:p>
    <w:p w14:paraId="1451010B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7.9提供合同信息汇总数据，支持按多种组合方式对合同进行查询。</w:t>
      </w:r>
    </w:p>
    <w:p w14:paraId="02A1BABF"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7.10提供对合同录入、补充合同录入等环节的数据支付信息录入，录入信息采用结构化表单；支持对支付所需的附件控制；支持管控支付金额不可超过合同金额；支持服务合同服务期限数据录入，服务项目临期预警、超期提醒采购小组开展采购工作。</w:t>
      </w:r>
    </w:p>
    <w:p w14:paraId="2322D76D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7.11提供对合同录入、补充合同录入等环节的数据进行履约验收，依据结构化表单对验收信息进行录入；支持对验收所需的附件控制。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37D0DCB-4DA2-4007-9909-CA83D01AD88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AC0B4"/>
    <w:multiLevelType w:val="singleLevel"/>
    <w:tmpl w:val="BCAAC0B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5485D6A"/>
    <w:multiLevelType w:val="multilevel"/>
    <w:tmpl w:val="05485D6A"/>
    <w:lvl w:ilvl="0" w:tentative="0">
      <w:start w:val="1"/>
      <w:numFmt w:val="japaneseCounting"/>
      <w:pStyle w:val="15"/>
      <w:lvlText w:val="%1、"/>
      <w:lvlJc w:val="left"/>
      <w:pPr>
        <w:ind w:left="960" w:hanging="48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67B"/>
    <w:rsid w:val="00051A51"/>
    <w:rsid w:val="00053DFD"/>
    <w:rsid w:val="0005596E"/>
    <w:rsid w:val="000563E3"/>
    <w:rsid w:val="00056636"/>
    <w:rsid w:val="000625F0"/>
    <w:rsid w:val="00064D28"/>
    <w:rsid w:val="00065A11"/>
    <w:rsid w:val="000665F8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D696C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3796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0997"/>
    <w:rsid w:val="00240D53"/>
    <w:rsid w:val="00242D68"/>
    <w:rsid w:val="00251004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5BC4"/>
    <w:rsid w:val="002B78F4"/>
    <w:rsid w:val="002C0430"/>
    <w:rsid w:val="002C2666"/>
    <w:rsid w:val="002D1AFE"/>
    <w:rsid w:val="002D7B41"/>
    <w:rsid w:val="002E218E"/>
    <w:rsid w:val="002F2B36"/>
    <w:rsid w:val="002F3839"/>
    <w:rsid w:val="002F4CC6"/>
    <w:rsid w:val="0030067B"/>
    <w:rsid w:val="00302A1C"/>
    <w:rsid w:val="0031063F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09E4"/>
    <w:rsid w:val="00491229"/>
    <w:rsid w:val="00493567"/>
    <w:rsid w:val="00497761"/>
    <w:rsid w:val="004A3D2F"/>
    <w:rsid w:val="004B09FE"/>
    <w:rsid w:val="004C7A3B"/>
    <w:rsid w:val="004D44E4"/>
    <w:rsid w:val="004E07CD"/>
    <w:rsid w:val="004E0C2B"/>
    <w:rsid w:val="004E22EA"/>
    <w:rsid w:val="004F1031"/>
    <w:rsid w:val="00500B48"/>
    <w:rsid w:val="00501BE9"/>
    <w:rsid w:val="00503F04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120A"/>
    <w:rsid w:val="005C3862"/>
    <w:rsid w:val="005C71DA"/>
    <w:rsid w:val="005E2F91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0A96"/>
    <w:rsid w:val="00886549"/>
    <w:rsid w:val="0089522F"/>
    <w:rsid w:val="00896D15"/>
    <w:rsid w:val="008A5D22"/>
    <w:rsid w:val="008A7BD6"/>
    <w:rsid w:val="008A7E83"/>
    <w:rsid w:val="008B09C7"/>
    <w:rsid w:val="008B1008"/>
    <w:rsid w:val="008B2D9B"/>
    <w:rsid w:val="008B3862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04E69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19A4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5549D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179A5"/>
    <w:rsid w:val="00B21B90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42C5"/>
    <w:rsid w:val="00BC775E"/>
    <w:rsid w:val="00BD193D"/>
    <w:rsid w:val="00BD1A8B"/>
    <w:rsid w:val="00BD3553"/>
    <w:rsid w:val="00BD3A0D"/>
    <w:rsid w:val="00BE1008"/>
    <w:rsid w:val="00BF3F1B"/>
    <w:rsid w:val="00BF4B59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84013"/>
    <w:rsid w:val="00C86F4A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24212"/>
    <w:rsid w:val="00D33D40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3D59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5B3"/>
    <w:rsid w:val="00DC1BF9"/>
    <w:rsid w:val="00DC360A"/>
    <w:rsid w:val="00DC4918"/>
    <w:rsid w:val="00DD0012"/>
    <w:rsid w:val="00DD734B"/>
    <w:rsid w:val="00DD7AE7"/>
    <w:rsid w:val="00DE13F4"/>
    <w:rsid w:val="00DE1BE1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2C86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E0E38"/>
    <w:rsid w:val="00FE4D0E"/>
    <w:rsid w:val="00FF053C"/>
    <w:rsid w:val="00FF33C9"/>
    <w:rsid w:val="00FF4CB4"/>
    <w:rsid w:val="00FF4F91"/>
    <w:rsid w:val="079A099E"/>
    <w:rsid w:val="084762C4"/>
    <w:rsid w:val="08D93E08"/>
    <w:rsid w:val="0C416D9B"/>
    <w:rsid w:val="0D2D6444"/>
    <w:rsid w:val="12FD7AC7"/>
    <w:rsid w:val="14345245"/>
    <w:rsid w:val="198C7FDB"/>
    <w:rsid w:val="27BF37CB"/>
    <w:rsid w:val="27C274D4"/>
    <w:rsid w:val="2BA03472"/>
    <w:rsid w:val="2E2E745B"/>
    <w:rsid w:val="3E9A68B9"/>
    <w:rsid w:val="4AC42386"/>
    <w:rsid w:val="593E232B"/>
    <w:rsid w:val="65E8FBE0"/>
    <w:rsid w:val="6B830EA4"/>
    <w:rsid w:val="6C8E2897"/>
    <w:rsid w:val="727F22D2"/>
    <w:rsid w:val="778E4093"/>
    <w:rsid w:val="7CDF7F89"/>
    <w:rsid w:val="7DA26842"/>
    <w:rsid w:val="7E216DC7"/>
    <w:rsid w:val="90EF9F4D"/>
    <w:rsid w:val="9BAF9AD7"/>
    <w:rsid w:val="9DEF3CB5"/>
    <w:rsid w:val="BC9F3508"/>
    <w:rsid w:val="D5FE1808"/>
    <w:rsid w:val="DFDD474C"/>
    <w:rsid w:val="E3FFC63C"/>
    <w:rsid w:val="EF07D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5"/>
    <w:unhideWhenUsed/>
    <w:qFormat/>
    <w:uiPriority w:val="0"/>
    <w:pPr>
      <w:ind w:firstLine="420" w:firstLineChars="100"/>
    </w:pPr>
  </w:style>
  <w:style w:type="paragraph" w:styleId="11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71e7dc79-1ff7-45e8-997d-0ebda3762b91"/>
    <w:basedOn w:val="3"/>
    <w:next w:val="15"/>
    <w:link w:val="17"/>
    <w:qFormat/>
    <w:uiPriority w:val="0"/>
    <w:pPr>
      <w:adjustRightInd w:val="0"/>
      <w:spacing w:before="0" w:after="0" w:line="288" w:lineRule="auto"/>
      <w:jc w:val="left"/>
    </w:pPr>
    <w:rPr>
      <w:rFonts w:ascii="微软雅黑" w:hAnsi="微软雅黑" w:eastAsia="微软雅黑" w:cs="宋体"/>
      <w:color w:val="000000"/>
      <w:sz w:val="28"/>
      <w:szCs w:val="28"/>
    </w:rPr>
  </w:style>
  <w:style w:type="paragraph" w:customStyle="1" w:styleId="15">
    <w:name w:val="acbfdd8b-e11b-4d36-88ff-6049b138f862"/>
    <w:basedOn w:val="5"/>
    <w:link w:val="19"/>
    <w:qFormat/>
    <w:uiPriority w:val="0"/>
    <w:pPr>
      <w:numPr>
        <w:ilvl w:val="0"/>
        <w:numId w:val="1"/>
      </w:numPr>
      <w:adjustRightInd w:val="0"/>
      <w:spacing w:after="0" w:line="288" w:lineRule="auto"/>
      <w:ind w:left="0" w:firstLine="0"/>
      <w:jc w:val="left"/>
    </w:pPr>
    <w:rPr>
      <w:rFonts w:ascii="微软雅黑" w:hAnsi="微软雅黑" w:eastAsia="微软雅黑" w:cs="宋体"/>
      <w:color w:val="000000"/>
      <w:sz w:val="22"/>
      <w:szCs w:val="28"/>
    </w:rPr>
  </w:style>
  <w:style w:type="character" w:customStyle="1" w:styleId="16">
    <w:name w:val="列表段落 字符"/>
    <w:basedOn w:val="10"/>
    <w:link w:val="11"/>
    <w:qFormat/>
    <w:uiPriority w:val="34"/>
    <w:rPr>
      <w:kern w:val="2"/>
      <w:sz w:val="21"/>
      <w:szCs w:val="22"/>
    </w:rPr>
  </w:style>
  <w:style w:type="character" w:customStyle="1" w:styleId="17">
    <w:name w:val="71e7dc79-1ff7-45e8-997d-0ebda3762b91 字符"/>
    <w:basedOn w:val="16"/>
    <w:link w:val="14"/>
    <w:qFormat/>
    <w:uiPriority w:val="0"/>
    <w:rPr>
      <w:rFonts w:ascii="微软雅黑" w:hAnsi="微软雅黑" w:eastAsia="微软雅黑" w:cs="宋体"/>
      <w:b/>
      <w:bCs/>
      <w:color w:val="000000"/>
      <w:kern w:val="2"/>
      <w:sz w:val="28"/>
      <w:szCs w:val="28"/>
    </w:rPr>
  </w:style>
  <w:style w:type="character" w:customStyle="1" w:styleId="18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acbfdd8b-e11b-4d36-88ff-6049b138f862 字符"/>
    <w:basedOn w:val="16"/>
    <w:link w:val="15"/>
    <w:qFormat/>
    <w:uiPriority w:val="0"/>
    <w:rPr>
      <w:rFonts w:ascii="微软雅黑" w:hAnsi="微软雅黑" w:eastAsia="微软雅黑" w:cs="宋体"/>
      <w:color w:val="000000"/>
      <w:kern w:val="2"/>
      <w:sz w:val="22"/>
      <w:szCs w:val="28"/>
    </w:rPr>
  </w:style>
  <w:style w:type="character" w:customStyle="1" w:styleId="20">
    <w:name w:val="正文文本 字符"/>
    <w:basedOn w:val="10"/>
    <w:link w:val="5"/>
    <w:semiHidden/>
    <w:qFormat/>
    <w:uiPriority w:val="99"/>
    <w:rPr>
      <w:kern w:val="2"/>
      <w:sz w:val="21"/>
      <w:szCs w:val="22"/>
    </w:rPr>
  </w:style>
  <w:style w:type="paragraph" w:customStyle="1" w:styleId="21">
    <w:name w:val="b63ee27f-4cf3-414c-9275-d88e3f90795e"/>
    <w:basedOn w:val="4"/>
    <w:next w:val="15"/>
    <w:link w:val="22"/>
    <w:qFormat/>
    <w:uiPriority w:val="0"/>
    <w:pPr>
      <w:adjustRightInd w:val="0"/>
      <w:spacing w:before="0" w:after="0" w:line="288" w:lineRule="auto"/>
      <w:ind w:left="200" w:leftChars="200" w:hanging="100" w:hangingChars="100"/>
      <w:jc w:val="left"/>
    </w:pPr>
    <w:rPr>
      <w:rFonts w:ascii="微软雅黑" w:hAnsi="微软雅黑" w:eastAsia="微软雅黑" w:cs="宋体"/>
      <w:color w:val="000000"/>
      <w:kern w:val="0"/>
      <w:sz w:val="26"/>
      <w:szCs w:val="24"/>
    </w:rPr>
  </w:style>
  <w:style w:type="character" w:customStyle="1" w:styleId="22">
    <w:name w:val="b63ee27f-4cf3-414c-9275-d88e3f90795e 字符"/>
    <w:basedOn w:val="10"/>
    <w:link w:val="21"/>
    <w:qFormat/>
    <w:uiPriority w:val="0"/>
    <w:rPr>
      <w:rFonts w:ascii="微软雅黑" w:hAnsi="微软雅黑" w:eastAsia="微软雅黑" w:cs="宋体"/>
      <w:b/>
      <w:bCs/>
      <w:color w:val="000000"/>
      <w:sz w:val="26"/>
      <w:szCs w:val="24"/>
    </w:rPr>
  </w:style>
  <w:style w:type="character" w:customStyle="1" w:styleId="23">
    <w:name w:val="标题 3 字符"/>
    <w:basedOn w:val="10"/>
    <w:link w:val="4"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5067</Words>
  <Characters>5269</Characters>
  <Lines>38</Lines>
  <Paragraphs>10</Paragraphs>
  <TotalTime>2</TotalTime>
  <ScaleCrop>false</ScaleCrop>
  <LinksUpToDate>false</LinksUpToDate>
  <CharactersWithSpaces>5285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2025-03-25T02:59:00Z</dcterms:created>
  <dc:creator>User</dc:creator>
  <cp:lastModifiedBy>Administrator</cp:lastModifiedBy>
  <cp:lastPrinted>2024-08-09T15:54:00Z</cp:lastPrinted>
  <dcterms:modified xsi:type="dcterms:W3CDTF">2025-03-26T00:45:50Z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3476C72B170640A4B776E97A01E37061_13</vt:lpwstr>
  </property>
  <property fmtid="{D5CDD505-2E9C-101B-9397-08002B2CF9AE}" pid="4" name="KSOTemplateDocerSaveRecord">
    <vt:lpwstr>eyJoZGlkIjoiM2U5MTIyMDQ4Y2Q1MmQxYTZlMTIxYWY0MTllMjJlNmUifQ==</vt:lpwstr>
  </property>
</Properties>
</file>