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病理科PD-L1</w:t>
      </w:r>
      <w:r>
        <w:rPr>
          <w:rFonts w:hint="eastAsia" w:ascii="仿宋" w:hAnsi="仿宋" w:eastAsia="仿宋" w:cs="仿宋"/>
          <w:sz w:val="36"/>
          <w:szCs w:val="36"/>
        </w:rPr>
        <w:t>免疫组织化学检测平台及配套检测试剂盒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项目</w:t>
      </w:r>
      <w:r>
        <w:rPr>
          <w:rFonts w:hint="eastAsia" w:ascii="仿宋" w:hAnsi="仿宋" w:eastAsia="仿宋" w:cs="仿宋"/>
          <w:sz w:val="36"/>
          <w:szCs w:val="36"/>
        </w:rPr>
        <w:t>采购需求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1A171C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免疫治疗已成为恶性肿瘤治疗一个新的里程碑。PD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L1/PD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L1抑制剂在多种肿瘤中均被证实有效。免疫组织化学检测PD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L1表达作为抗PD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L1/PD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L1 治疗的预测性生物标志物， PD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L1表达水平与免疫治疗疗效及患者预后密切相关。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1A171C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免疫组化是病理学诊断常规诊断技术之一，病理科已开展检测多年，有良好的实验技术条件及经验丰富的技术人员。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  <w:lang w:val="en-US" w:eastAsia="zh-CN"/>
        </w:rPr>
        <w:t>我院拟采购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PD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L1免疫组织化学检测平台及配套检测试剂盒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1A171C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产品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：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仿宋" w:hAnsi="仿宋" w:eastAsia="仿宋" w:cs="仿宋"/>
          <w:color w:val="1A171C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主要检测病种：肺癌、食管癌、胃癌、尿路上皮癌、肝癌、结直肠癌、乳腺癌、经典型霍奇金淋巴瘤及恶性黑色素细胞瘤等。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仿宋" w:hAnsi="仿宋" w:eastAsia="仿宋" w:cs="仿宋"/>
          <w:color w:val="1A171C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检测试剂盒：PD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L1检测试剂盒（免疫组织化学法）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仿宋" w:hAnsi="仿宋" w:eastAsia="仿宋" w:cs="仿宋"/>
          <w:color w:val="1A171C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高通量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  <w:lang w:val="en-US" w:eastAsia="zh-CN"/>
        </w:rPr>
        <w:t>≥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 xml:space="preserve">48张切片/42种试剂 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仿宋" w:hAnsi="仿宋" w:eastAsia="仿宋" w:cs="仿宋"/>
          <w:color w:val="1A171C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可连接LIS。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有毒无毒废液分开。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配备不间断电源。</w:t>
      </w:r>
      <w:r>
        <w:rPr>
          <w:rFonts w:hint="eastAsia" w:ascii="仿宋" w:hAnsi="仿宋" w:eastAsia="仿宋" w:cs="仿宋"/>
          <w:color w:val="1A171C"/>
          <w:kern w:val="0"/>
          <w:sz w:val="28"/>
          <w:szCs w:val="28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BB4B98"/>
    <w:multiLevelType w:val="multilevel"/>
    <w:tmpl w:val="37BB4B98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2553088E"/>
    <w:rsid w:val="2553088E"/>
    <w:rsid w:val="367C1473"/>
    <w:rsid w:val="75D7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2023-10-23T09:46:00Z</dcterms:created>
  <dc:creator>hyn</dc:creator>
  <cp:lastModifiedBy>hyn</cp:lastModifiedBy>
  <dcterms:modified xsi:type="dcterms:W3CDTF">2023-10-23T09:48:04Z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FA52A4C2928A4B1B8137957B2BB91204_11</vt:lpwstr>
  </property>
</Properties>
</file>