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山西省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癌症筛查早诊早治及规范化诊疗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能力提升项目需求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通过对癌症的防、诊、治的全周期全链条管理，建立山西省“五位一体”全民癌症防控体系，实现全省重点癌种五年生存率显著提升，助力“健康山西”建设。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服务项目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1.完成对山西省区域肿瘤防治一体化管理平台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的</w:t>
      </w:r>
      <w:r>
        <w:rPr>
          <w:rFonts w:hint="eastAsia" w:ascii="仿宋" w:hAnsi="仿宋" w:eastAsia="仿宋" w:cs="仿宋"/>
          <w:sz w:val="28"/>
          <w:szCs w:val="28"/>
        </w:rPr>
        <w:t>建设；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2.建设居民特征标准数据表库，建立100万例基础人群癌症风险评估数据研究队列；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3.建设高危人群特征库，建立20万例高危人群癌症早期筛查数据研究队列；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4.建设患者特征库，建立1万例患癌人群的临床诊疗数据研究队列；</w:t>
      </w: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5.人员培训：针对指定医院的重点科室进行业务能力提升培训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 w:cs="仿宋"/>
          <w:sz w:val="28"/>
          <w:szCs w:val="28"/>
        </w:rPr>
        <w:t>山西省常见癌种（肺癌、乳腺癌、上消化道癌、结直肠癌、肝癌、宫颈癌等）的筛查和早诊技术开展培训。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服务内容</w:t>
      </w:r>
    </w:p>
    <w:p>
      <w:pPr>
        <w:numPr>
          <w:ilvl w:val="0"/>
          <w:numId w:val="0"/>
        </w:numPr>
        <w:ind w:left="420" w:leftChars="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软件功能需求</w:t>
      </w:r>
    </w:p>
    <w:tbl>
      <w:tblPr>
        <w:tblStyle w:val="7"/>
        <w:tblpPr w:leftFromText="180" w:rightFromText="180" w:vertAnchor="text" w:horzAnchor="page" w:tblpX="1427" w:tblpY="305"/>
        <w:tblOverlap w:val="never"/>
        <w:tblW w:w="56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634"/>
        <w:gridCol w:w="880"/>
        <w:gridCol w:w="836"/>
        <w:gridCol w:w="5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数量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规格</w:t>
            </w:r>
          </w:p>
        </w:tc>
        <w:tc>
          <w:tcPr>
            <w:tcW w:w="2829" w:type="pct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山西省区域肿瘤防治一体化综合管理平台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形成区域主题数据资源池建设及BI展示。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所需要的系统工具支撑具备如下功能：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区域肿瘤防治数据库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区域肿瘤一体化驾驶舱，包含：区域肿瘤一体化驾驶舱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区域肿瘤早诊早筛管理看板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区域肿瘤诊疗规范化管理看板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肿瘤一体化防治综合看板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后台管理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100万例基础人群癌症风险评估数据研究队列建立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对“100万例基础人群癌症风险评估数据研究队列建立”项目任务，完成基础人群高发癌种（肺癌、肝癌、上消化道癌、结直肠癌、乳腺癌、宫颈癌等）癌症风险评估数据队列，形成元数据库并建立居民特征标准数据表库。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1、通过科普宣传等手段，促进居民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主动</w:t>
            </w:r>
            <w:r>
              <w:rPr>
                <w:rFonts w:hint="eastAsia" w:ascii="仿宋" w:hAnsi="仿宋" w:eastAsia="仿宋" w:cs="仿宋"/>
                <w:szCs w:val="21"/>
              </w:rPr>
              <w:t>到国家居民癌症防控行动平台进行肿瘤风险评估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</w:rPr>
              <w:t>通过在指定医院部署非肿瘤患者癌症风险高危预警系统，实现居民的癌症风险院内机会性评估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szCs w:val="21"/>
              </w:rPr>
              <w:t>通过对接太原市区域居民健康大数据平台，实现居民癌症风险普适性评估；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2、将采集所得问卷数据进行字段质控、提取，并填充至元数据表单中，形成元数据库；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3、将元数据库数据按统一的数据模型转化，并对数据进行标准化清洗、文本数据的后结构化处理，建立居民特征标准数据表库；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4、所需要的系统工具支撑具备如下功能：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风险评估；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基础平台；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数据及后台管理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；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院内癌症机会性筛查医生端；</w:t>
            </w:r>
          </w:p>
          <w:p>
            <w:pPr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院内机会性筛查后台管理。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20万例高危人群癌症早期筛查数据研究队列建立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针对“20万例高危人群癌症早期筛查数据研究队列建立”项目任务，完成对国家癌症免费筛查机构、国家标准化筛查推广与管理中心的筛查人群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数据</w:t>
            </w:r>
            <w:r>
              <w:rPr>
                <w:rFonts w:hint="eastAsia" w:ascii="仿宋" w:hAnsi="仿宋" w:eastAsia="仿宋" w:cs="仿宋"/>
                <w:szCs w:val="21"/>
              </w:rPr>
              <w:t>，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指定医</w:t>
            </w:r>
            <w:r>
              <w:rPr>
                <w:rFonts w:hint="eastAsia" w:ascii="仿宋" w:hAnsi="仿宋" w:eastAsia="仿宋" w:cs="仿宋"/>
                <w:szCs w:val="21"/>
              </w:rPr>
              <w:t>院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上述癌种</w:t>
            </w:r>
            <w:r>
              <w:rPr>
                <w:rFonts w:hint="eastAsia" w:ascii="仿宋" w:hAnsi="仿宋" w:eastAsia="仿宋" w:cs="仿宋"/>
                <w:szCs w:val="21"/>
              </w:rPr>
              <w:t>院内机会性筛查数据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，指定医院自主进行的上述癌种筛查数据，指定医院体检中心（健康管理中心）上述癌种筛查数据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进行</w:t>
            </w:r>
            <w:r>
              <w:rPr>
                <w:rFonts w:hint="eastAsia" w:ascii="仿宋" w:hAnsi="仿宋" w:eastAsia="仿宋" w:cs="仿宋"/>
                <w:szCs w:val="21"/>
              </w:rPr>
              <w:t>采集、标准化数据治理，完成高危人群癌症早期筛查数据研究队列建立。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所需要的系统工具支撑具备如下功能：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即时过程提醒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筛查阳性患者管理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我的患者癌症筛查仪表盘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门诊及体检随诊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全院机会性癌症筛查仪表盘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全院肿瘤高危风险一览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高危至确诊全周期管理</w:t>
            </w:r>
          </w:p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癌种筛查规则库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1万例患癌人群的临床诊疗数据研究队列建立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针对“1万例患癌人群的临床诊疗数据研究队列建立”项目任务，进行6肿瘤患者数据采集、标准化数据治理、患者特征库建设及研究队列建立。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8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854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培训服务</w:t>
            </w:r>
          </w:p>
        </w:tc>
        <w:tc>
          <w:tcPr>
            <w:tcW w:w="460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437" w:type="pc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2829" w:type="pct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针对指定医院的重点科室进行业务能力提升培训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以及</w:t>
            </w:r>
            <w:r>
              <w:rPr>
                <w:rFonts w:hint="eastAsia" w:ascii="仿宋" w:hAnsi="仿宋" w:eastAsia="仿宋" w:cs="仿宋"/>
              </w:rPr>
              <w:t>山西省常见癌种（肺癌、乳腺癌、上消化道癌、结直肠癌、肝癌、宫颈癌等）的筛查和早诊技术及相关的数据采集与应用培训，为培训考试合格者颁发结业证书。培训具体内容包括：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学科相关人员参与临床工作能力提升培训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专家查房指导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科室能力提升建设工作研讨会和工作总结会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癌症筛查早诊早治工作应用平台操作使用培训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癌症防治基础理论知识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癌症风险因素高暴露人群识别与判定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癌症筛查早诊早治技术方案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健康管理方案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健康教育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数据上报质量控制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疗后康复营养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早期癌症筛查内镜检查体系解析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早期癌症筛查放射检查体系解析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早期癌症筛查超声检查体系解析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早期癌症筛查低剂量螺旋CT检查体系解析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食管/胃癌早期筛查病理学诊断要点解析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结直肠癌早期筛查病理学诊断要点解析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宫颈癌早期筛查病理学诊断要点解析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肺癌早期筛查典型病例分享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肝癌早期筛查典型病例分享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乳腺癌早期筛查典型病例分享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上消化道癌早期筛查典型病例分享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结直肠癌早期筛查典型病例分享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宫颈癌早期筛查典型病例分享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癌症早期筛查手把手带教培训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专家组答疑与经验交流分享。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硬件需求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为满足以上数据采集、存储及治理需要，需为指定医院配备相应硬件设施条件，医院端硬件配备要求含项目数据治理所需服务器、前置机及相应网络安全设备，保障数据安全。</w:t>
      </w:r>
    </w:p>
    <w:tbl>
      <w:tblPr>
        <w:tblStyle w:val="6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762"/>
        <w:gridCol w:w="725"/>
        <w:gridCol w:w="1206"/>
        <w:gridCol w:w="4598"/>
        <w:gridCol w:w="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硬件配置</w:t>
            </w: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677" w:type="pc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操作系统</w:t>
            </w:r>
          </w:p>
        </w:tc>
        <w:tc>
          <w:tcPr>
            <w:tcW w:w="2581" w:type="pct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配置说明</w:t>
            </w:r>
          </w:p>
        </w:tc>
        <w:tc>
          <w:tcPr>
            <w:tcW w:w="407" w:type="pct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硬件服务器1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推荐：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centos7.9 2009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rhel 7.9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可支持：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Ubuntu 22.04 LTS</w:t>
            </w:r>
          </w:p>
        </w:tc>
        <w:tc>
          <w:tcPr>
            <w:tcW w:w="2581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CPU: 2颗6226R (2.5G, 16C)处理器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硬盘: 2块 1TB 3.5寸机械硬盘raid1(操作系统)， 2块 3.5寸4TB 机械硬盘  raid1（数据）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外观 1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U机架式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，前置面板，配置滑动导轨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以太网卡端口 万兆网卡2块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硬件服务器2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推荐：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centos7.9 2009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rhel 7.9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可支持：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Ubuntu 22.04 LTS</w:t>
            </w:r>
          </w:p>
        </w:tc>
        <w:tc>
          <w:tcPr>
            <w:tcW w:w="2581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CPU: 2颗6226R (2.5G, 16C)处理器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硬盘: 2块 1TB 3.5寸机械硬盘 raid1(操作系统)， 2块 4TB 3.5寸 机械硬盘 raid1（数据）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外观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1U机架式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，前置面板，配置滑动导轨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以太网卡端口 万兆网卡2块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硬件服务器3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（应用）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推荐：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centos7.9 2009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rhel 7.9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可支持：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Ubuntu 22.04 LTS</w:t>
            </w:r>
          </w:p>
        </w:tc>
        <w:tc>
          <w:tcPr>
            <w:tcW w:w="2581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CPU: 2颗 6226R (2.5G, 16C)处理器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内存: 128GB 3200MT/s DDR4内存，24个内存插槽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硬盘: 2块 1TB 3.5寸机械硬盘raid1(操作系统)， 2块 4TB 3.5寸机械硬盘 raid1（数据）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外观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1U机架式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，前置面板，配置滑动导轨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以太网卡端口 万兆网卡2块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肿瘤诊疗规范化的应用服务；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数据库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硬件服务器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（算法）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7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推荐：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centos7.9 2009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rhel 7.9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可支持：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Ubuntu 22.04 LTS</w:t>
            </w:r>
          </w:p>
        </w:tc>
        <w:tc>
          <w:tcPr>
            <w:tcW w:w="2581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CPU 2颗6226R (2.9G, 8C)处理器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内存 96GB 3200MT/s DDR4内存，24个内存插槽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硬盘 2块1TB 3.5寸机械硬盘 raid1(操作系统)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2块 4TB 3.5寸机械硬盘 raid1(nfs 数据备份，程序日志收集).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外观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</w:rPr>
              <w:t>1U机架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 xml:space="preserve">，前置面板，配置滑动导轨2 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以太网卡端口 千兆网卡2块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肿瘤诊疗规范化算法模型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硬件服务器5（前置机）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推荐：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centos7.9 2009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rhel 7.9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可支持：</w:t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</w:rPr>
              <w:t>Ubuntu 22.04 LTS</w:t>
            </w:r>
          </w:p>
        </w:tc>
        <w:tc>
          <w:tcPr>
            <w:tcW w:w="2581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CPU 2颗(2.5G,10C)处理器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内存 64GB 3200MT/s DDR4内存，24个内存插槽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硬盘 2块1TB .5寸机械硬盘raid1(操作系统), 2块4TB 3.5寸机械硬盘raid1(数据)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外观1U机架式，前置面板，配置滑动导轨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 xml:space="preserve">以太网卡端口 万兆网卡2块 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电源 高效节能750W冗余电源，冗余风扇，支持热插拔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的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安全服务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硬件交换机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(业务交互)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581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下行端口：48*10GE SFP+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上行端口：4*40GE SFP+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设备特性：支持三层、M-lag、堆叠等技术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电源：双电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其他：40G链路电缆*2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的安全服务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98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2"/>
                <w:szCs w:val="22"/>
                <w:lang w:eastAsia="zh-Hans"/>
              </w:rPr>
            </w:pPr>
          </w:p>
        </w:tc>
        <w:tc>
          <w:tcPr>
            <w:tcW w:w="427" w:type="pct"/>
            <w:tcBorders>
              <w:left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安全设备</w:t>
            </w:r>
          </w:p>
        </w:tc>
        <w:tc>
          <w:tcPr>
            <w:tcW w:w="407" w:type="pc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</w:t>
            </w:r>
          </w:p>
        </w:tc>
        <w:tc>
          <w:tcPr>
            <w:tcW w:w="677" w:type="pc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</w:rPr>
            </w:pPr>
          </w:p>
        </w:tc>
        <w:tc>
          <w:tcPr>
            <w:tcW w:w="2581" w:type="pct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固定端口2 x 40GE (QSFP+) +12 x10GE(SFP+) + 16xGE  /外置存储  选配2.5英寸形态硬盘，支持SSD 240GB/HDD1TB/产品型态1U AI防火墙(盒式)/尺寸(W x D x H)  442 x 420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-SA"/>
              </w:rPr>
              <w:t>x 43.6/整机最大功耗118W/电源(AC)纷入电压100-240V/电源 (AC) 冗余 选配双电源/重量(不含硬盘)6.5kg</w:t>
            </w:r>
          </w:p>
        </w:tc>
        <w:tc>
          <w:tcPr>
            <w:tcW w:w="407" w:type="pc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</w:rPr>
              <w:t>肿瘤诊疗规范化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的安全服务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BB43D"/>
    <w:multiLevelType w:val="singleLevel"/>
    <w:tmpl w:val="01EBB43D"/>
    <w:lvl w:ilvl="0" w:tentative="0">
      <w:start w:val="1"/>
      <w:numFmt w:val="chineseCounting"/>
      <w:suff w:val="nothing"/>
      <w:lvlText w:val="%1、"/>
      <w:lvlJc w:val="left"/>
      <w:pPr>
        <w:ind w:left="-14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N2QwNTBkYTQxYjQ1YzAzNGJkNjgwYzk3ZTk2ZTYifQ=="/>
    <w:docVar w:name="KSO_WPS_MARK_KEY" w:val="d07ff57f-5597-46dc-97c7-15d68fbb5bc4"/>
  </w:docVars>
  <w:rsids>
    <w:rsidRoot w:val="00511730"/>
    <w:rsid w:val="00113512"/>
    <w:rsid w:val="003E6BAF"/>
    <w:rsid w:val="00411F8E"/>
    <w:rsid w:val="00423A0E"/>
    <w:rsid w:val="00511730"/>
    <w:rsid w:val="005E626F"/>
    <w:rsid w:val="00767626"/>
    <w:rsid w:val="00871088"/>
    <w:rsid w:val="00932CD5"/>
    <w:rsid w:val="00A033A1"/>
    <w:rsid w:val="00A44962"/>
    <w:rsid w:val="00A62478"/>
    <w:rsid w:val="00A70146"/>
    <w:rsid w:val="00BD5540"/>
    <w:rsid w:val="00E40173"/>
    <w:rsid w:val="011E5EF4"/>
    <w:rsid w:val="086E1086"/>
    <w:rsid w:val="09B41737"/>
    <w:rsid w:val="10120C2C"/>
    <w:rsid w:val="1780210B"/>
    <w:rsid w:val="1A4C4FF8"/>
    <w:rsid w:val="1DA17B19"/>
    <w:rsid w:val="1F6740EC"/>
    <w:rsid w:val="20406564"/>
    <w:rsid w:val="22DB483E"/>
    <w:rsid w:val="2CBB54C1"/>
    <w:rsid w:val="2D522A00"/>
    <w:rsid w:val="2E3D144C"/>
    <w:rsid w:val="2EE94DDD"/>
    <w:rsid w:val="2F5B00C9"/>
    <w:rsid w:val="303112DE"/>
    <w:rsid w:val="328238D1"/>
    <w:rsid w:val="3A991B74"/>
    <w:rsid w:val="3ED10D4C"/>
    <w:rsid w:val="417841D8"/>
    <w:rsid w:val="474D04FA"/>
    <w:rsid w:val="4B4749F9"/>
    <w:rsid w:val="4E9C455D"/>
    <w:rsid w:val="4F082323"/>
    <w:rsid w:val="633068DA"/>
    <w:rsid w:val="633D55C6"/>
    <w:rsid w:val="7AE2272C"/>
    <w:rsid w:val="7ECC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eastAsia" w:ascii="华文楷体" w:hAnsi="华文楷体" w:eastAsia="华文楷体" w:cs="华文楷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2337</Words>
  <Characters>2672</Characters>
  <Lines>11</Lines>
  <Paragraphs>3</Paragraphs>
  <TotalTime>5</TotalTime>
  <ScaleCrop>false</ScaleCrop>
  <LinksUpToDate>false</LinksUpToDate>
  <CharactersWithSpaces>2757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2023-03-02T02:59:00Z</dcterms:created>
  <dc:creator>Administrator</dc:creator>
  <cp:lastModifiedBy>刘妍</cp:lastModifiedBy>
  <cp:lastPrinted>2023-07-28T09:32:00Z</cp:lastPrinted>
  <dcterms:modified xsi:type="dcterms:W3CDTF">2023-08-24T10:29:41Z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DA0EED054BEF4CD8822A8515899B3A56_13</vt:lpwstr>
  </property>
</Properties>
</file>